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for both the general fund and the ESSA, CARES, CRRSA and ARP grants are led by the central office business staff, primarily by the Treasurer, the Superintendent and Coordinator of Federal Funds. The needs of the students are translated into the budget through a collaborative approach with the school administration (Principal, Department Heads and Committee Chairs). These budget development conversations begin in December and follows the budget calendar timeline. The school board members are made aware of  program requests and budget needs, and public input is solicited at board meetings. The district aligns its process with an approved budget calendar that concludes with the public vote on the budget and the creation of the annual Title I School -Wide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Kiryas Joel Union Free School District is comprised of one (1) Public School building that services classified students of special education for students in Ungraded Elementary and Ungraded Secondary, as well as one (1) publicly funded Pre School and Kindergarten program serving students age 3 to 7 years old. The school provides supplemental services through Title I funding.  There is no formula or approach used to allocate funds to “each school” as the program and services to these students are mandated by their IEPs.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