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Wallkill Central School District is comprised of 3 elementary schools (K-6) - Plattekill, Leptondale, and Ostrander, a middle school (7-8) and a senior high school (9-12). Staffing for each of buildings are analyzed yearly, as well as projecting future years, by looking at enrollment projections and specialized services offered in buildings, more specifically special education services. Each building are allotted funds for building supplies and contractual expenses and this is based on the building projected enrollment multiplied by a set rate. These building allocations are reviewed yearly and discussed with the building administrators and Board of Education during the budget process before final allocations are given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