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Massena Central School District does not use a formula based approach to fund our individual schools. Our budget is built based on the needs at each individual building and funds are allocated based on justification of need and/or in support of Board of Education Goals. Our building level funding is reviewed each year during the budgeting process and buildings receive funding based on their needs. Needs are determined by student enrollment, special education enrollment, new programing requests, and other local demographic and staffing factors.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Overall, our funding is quite consistent. Many factors may contribute to the differences in cost per pupil though. Our elementary schools are neighborhood schools and the neighborhood demographics can affect the needs at each school. Further, enrollment at each building, seniority of staff, and number of special education students are large drivers in the cost differences between our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