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s are allocated funds with several approaches. Building leadership are allocated funds specific to their budgeting discretion based on total student enrollment multiplied by a flat dollar amount. These flat dollar amounts are consistent for all elementary buildings and are greater for middle and high school level buildings. There is also a flat $10,000 discretion amount that is distributed to each building principal. For staffing purposes, student needs, special education placements, and cost/benefit between staffing for programming vs outside and/or BOCES placements are considered. The majority of funding allocation is driven by student need and population demands. Special education classroom and academic support services typically generate a greater need for funding and additional dollars are driven towards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