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All FTE's and related benefits are centrally budgeted for and allocated based on student enrollment and mandated services. Buildings are allocated a per pupil amount based on projected enrollment and considered historical per pupil spending.  Equipment allocations are developed using a zero-based budget methodology considering standard replacement plans and program needs.  This zero-based budget approach for equipment excludes classroom furniture and instructional technology - both of which are centrally budgeted for.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Per pupil spending at Brighton High School is greater due to the allocation of funding for extracurricular activities such as athletics, and student clubs.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